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A37" w:rsidRDefault="009C0A37" w:rsidP="00BE4B18">
      <w:pPr>
        <w:shd w:val="clear" w:color="auto" w:fill="F8F7F7"/>
        <w:spacing w:after="0" w:line="240" w:lineRule="auto"/>
        <w:jc w:val="center"/>
        <w:outlineLvl w:val="0"/>
        <w:rPr>
          <w:rFonts w:ascii="Tahoma" w:eastAsia="Times New Roman" w:hAnsi="Tahoma" w:cs="Tahoma"/>
          <w:sz w:val="24"/>
          <w:szCs w:val="24"/>
          <w:u w:val="single"/>
          <w:lang w:eastAsia="pl-PL"/>
        </w:rPr>
      </w:pPr>
      <w:r w:rsidRPr="009C0A37">
        <w:rPr>
          <w:rFonts w:ascii="Tahoma" w:eastAsia="Times New Roman" w:hAnsi="Tahoma" w:cs="Tahoma"/>
          <w:sz w:val="24"/>
          <w:szCs w:val="24"/>
          <w:u w:val="single"/>
          <w:lang w:eastAsia="pl-PL"/>
        </w:rPr>
        <w:t>REGULAMIN ROZLICZENIA CIEPŁA</w:t>
      </w:r>
      <w:r w:rsidR="003021BC">
        <w:rPr>
          <w:rFonts w:ascii="Tahoma" w:eastAsia="Times New Roman" w:hAnsi="Tahoma" w:cs="Tahoma"/>
          <w:sz w:val="24"/>
          <w:szCs w:val="24"/>
          <w:u w:val="single"/>
          <w:lang w:eastAsia="pl-PL"/>
        </w:rPr>
        <w:t xml:space="preserve"> I KOSZTÓW UTRZYMANIA INSTALACJI 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REGULAMIN ROZLICZANIA KOSZTÓW ENERGII CIEPLNEJ ZUŻYWANEJ NA POTRZEBY CENTRALNEGO OGRZEWANIA ORAZ PODGRZANIA WODY UŻYTKOWEJ DOSTARCZANEJ DO LOKALI PRZY ZASTOSOWANIU METODY WYKORZYSTUJĄCEJ WSKAZANIA LOGOTERM</w:t>
      </w:r>
      <w:r w:rsidR="003021BC">
        <w:rPr>
          <w:rFonts w:ascii="Tahoma" w:eastAsia="Times New Roman" w:hAnsi="Tahoma" w:cs="Tahoma"/>
          <w:sz w:val="20"/>
          <w:szCs w:val="20"/>
          <w:lang w:eastAsia="pl-PL"/>
        </w:rPr>
        <w:t xml:space="preserve"> oraz REGULAMIN USTALANIA KOSZTÓW UTRZYMANIA INSTALACJI LOKALI WYPOSAŻONYCH W INDYWIDUALNE KOTŁY GAZOWE DWUFUNKCYJNE .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</w:t>
      </w:r>
    </w:p>
    <w:p w:rsidR="003021BC" w:rsidRDefault="009C0A37" w:rsidP="003021BC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Niniejszy Regulamin ustala się w celu zapewnienia jednolitego i jednoznacznego sposobu postępowania przy określaniu opłat zaliczkowych za energię cieplną i okresowym rozliczaniu jej kosztów w nieruchomościach zarządzanych przez </w:t>
      </w:r>
      <w:r>
        <w:rPr>
          <w:rFonts w:ascii="Tahoma" w:eastAsia="Times New Roman" w:hAnsi="Tahoma" w:cs="Tahoma"/>
          <w:sz w:val="20"/>
          <w:szCs w:val="20"/>
          <w:lang w:eastAsia="pl-PL"/>
        </w:rPr>
        <w:t>Świdnickie Towarzystwo Budownictwa Społecznego (ŚTBS)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, wyposażonych w indywidualne sta</w:t>
      </w:r>
      <w:r w:rsidR="003021BC">
        <w:rPr>
          <w:rFonts w:ascii="Tahoma" w:eastAsia="Times New Roman" w:hAnsi="Tahoma" w:cs="Tahoma"/>
          <w:sz w:val="20"/>
          <w:szCs w:val="20"/>
          <w:lang w:eastAsia="pl-PL"/>
        </w:rPr>
        <w:t xml:space="preserve">cje wymiennikowe tzw. </w:t>
      </w:r>
      <w:proofErr w:type="spellStart"/>
      <w:r w:rsidR="003021BC">
        <w:rPr>
          <w:rFonts w:ascii="Tahoma" w:eastAsia="Times New Roman" w:hAnsi="Tahoma" w:cs="Tahoma"/>
          <w:sz w:val="20"/>
          <w:szCs w:val="20"/>
          <w:lang w:eastAsia="pl-PL"/>
        </w:rPr>
        <w:t>logotermy</w:t>
      </w:r>
      <w:proofErr w:type="spellEnd"/>
      <w:r w:rsidR="003021BC">
        <w:rPr>
          <w:rFonts w:ascii="Tahoma" w:eastAsia="Times New Roman" w:hAnsi="Tahoma" w:cs="Tahoma"/>
          <w:sz w:val="20"/>
          <w:szCs w:val="20"/>
          <w:lang w:eastAsia="pl-PL"/>
        </w:rPr>
        <w:t xml:space="preserve"> oraz indywidualne kotły gazowe dwufunkcyjne .</w:t>
      </w: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2</w:t>
      </w:r>
    </w:p>
    <w:p w:rsidR="003021BC" w:rsidRPr="003021BC" w:rsidRDefault="009C0A37" w:rsidP="003021BC">
      <w:pPr>
        <w:pStyle w:val="Akapitzlist"/>
        <w:numPr>
          <w:ilvl w:val="0"/>
          <w:numId w:val="44"/>
        </w:numPr>
        <w:shd w:val="clear" w:color="auto" w:fill="F8F7F7"/>
        <w:spacing w:before="100" w:beforeAutospacing="1" w:after="100" w:afterAutospacing="1" w:line="240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3021BC">
        <w:rPr>
          <w:rFonts w:ascii="Tahoma" w:eastAsia="Times New Roman" w:hAnsi="Tahoma" w:cs="Tahoma"/>
          <w:sz w:val="20"/>
          <w:szCs w:val="20"/>
          <w:lang w:eastAsia="pl-PL"/>
        </w:rPr>
        <w:t xml:space="preserve">Regulamin niniejszy reguluje </w:t>
      </w:r>
      <w:r w:rsidR="003021BC" w:rsidRPr="003021BC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9C0A37" w:rsidRPr="003021BC" w:rsidRDefault="009C0A37" w:rsidP="003021BC">
      <w:pPr>
        <w:pStyle w:val="Akapitzlist"/>
        <w:numPr>
          <w:ilvl w:val="0"/>
          <w:numId w:val="45"/>
        </w:num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3021BC">
        <w:rPr>
          <w:rFonts w:ascii="Tahoma" w:eastAsia="Times New Roman" w:hAnsi="Tahoma" w:cs="Tahoma"/>
          <w:sz w:val="20"/>
          <w:szCs w:val="20"/>
          <w:lang w:eastAsia="pl-PL"/>
        </w:rPr>
        <w:t>sposób rozliczania kosztów energii cieplnej do lokali mieszkalnych</w:t>
      </w:r>
      <w:r w:rsidRPr="003021BC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i użytkowych oraz garaży, zwanych w dalszej części regulaminu lokalami, przy zastosowaniu metody wykorzystującej wskazania </w:t>
      </w:r>
      <w:proofErr w:type="spellStart"/>
      <w:r w:rsidRPr="003021BC">
        <w:rPr>
          <w:rFonts w:ascii="Tahoma" w:eastAsia="Times New Roman" w:hAnsi="Tahoma" w:cs="Tahoma"/>
          <w:sz w:val="20"/>
          <w:szCs w:val="20"/>
          <w:lang w:eastAsia="pl-PL"/>
        </w:rPr>
        <w:t>logoterm</w:t>
      </w:r>
      <w:proofErr w:type="spellEnd"/>
      <w:r w:rsidRPr="003021BC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3021BC" w:rsidRPr="003021BC" w:rsidRDefault="0001198E" w:rsidP="003021BC">
      <w:pPr>
        <w:pStyle w:val="Akapitzlist"/>
        <w:numPr>
          <w:ilvl w:val="0"/>
          <w:numId w:val="45"/>
        </w:num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s</w:t>
      </w:r>
      <w:r w:rsidR="003021BC">
        <w:rPr>
          <w:rFonts w:ascii="Tahoma" w:eastAsia="Times New Roman" w:hAnsi="Tahoma" w:cs="Tahoma"/>
          <w:sz w:val="20"/>
          <w:szCs w:val="20"/>
          <w:lang w:eastAsia="pl-PL"/>
        </w:rPr>
        <w:t>posób ustalania kosztów utrzymania instalacji lokali wyposażonych w indywidualne kotły gazowe dwufunkcyjne .</w:t>
      </w:r>
    </w:p>
    <w:p w:rsidR="009C0A37" w:rsidRPr="009C0A37" w:rsidRDefault="009C0A37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2. Regulamin opracowano w oparciu o postanowienia zawarte w następujących przepisach: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- Ustawa z dnia 10 kwietnia 1997r. - Prawo energetyczne (Dz. U. nr  89 poz. 625 z </w:t>
      </w:r>
      <w:proofErr w:type="spellStart"/>
      <w:r w:rsidRPr="009C0A37">
        <w:rPr>
          <w:rFonts w:ascii="Tahoma" w:eastAsia="Times New Roman" w:hAnsi="Tahoma" w:cs="Tahoma"/>
          <w:sz w:val="20"/>
          <w:szCs w:val="20"/>
          <w:lang w:eastAsia="pl-PL"/>
        </w:rPr>
        <w:t>późn</w:t>
      </w:r>
      <w:proofErr w:type="spellEnd"/>
      <w:r w:rsidRPr="009C0A37">
        <w:rPr>
          <w:rFonts w:ascii="Tahoma" w:eastAsia="Times New Roman" w:hAnsi="Tahoma" w:cs="Tahoma"/>
          <w:sz w:val="20"/>
          <w:szCs w:val="20"/>
          <w:lang w:eastAsia="pl-PL"/>
        </w:rPr>
        <w:t>. zmianami);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Ustawa z dnia 21 luty 2005 r. o ochronie praw lokatorów, mieszkaniowym zasobie gminy i o zmianie Kodeksu cywilnego (Dz. U. nr 31/05 poz. 266) z późniejszymi zmianami;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- Rozporządzenie Ministra Gospodarki z dnia </w:t>
      </w:r>
      <w:r w:rsidR="00940E53">
        <w:rPr>
          <w:rFonts w:ascii="Tahoma" w:eastAsia="Times New Roman" w:hAnsi="Tahoma" w:cs="Tahoma"/>
          <w:sz w:val="20"/>
          <w:szCs w:val="20"/>
          <w:lang w:eastAsia="pl-PL"/>
        </w:rPr>
        <w:t>17.09.2010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roku w sprawie szczegółowych zasad kształtowania i kalkulacji taryf oraz rozliczeń z tytułu zaopatrzenia w ciepło (Dz. U. </w:t>
      </w:r>
      <w:r w:rsidR="00940E53">
        <w:rPr>
          <w:rFonts w:ascii="Tahoma" w:eastAsia="Times New Roman" w:hAnsi="Tahoma" w:cs="Tahoma"/>
          <w:sz w:val="20"/>
          <w:szCs w:val="20"/>
          <w:lang w:eastAsia="pl-PL"/>
        </w:rPr>
        <w:t>2010.194.1291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);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Rozporządzenie Ministra Gospodarki z dnia 15 stycznia 2007 roku w sprawie szczegółowych warunków funkcjonowania systemów ciepłowniczych (Dz. U. z dnia lutego 2007r.);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- Rozporządzenie Ministra Infrastruktury z dnia 12 kwietnia 2002 roku w sprawie warunków technicznych, jakim powinny odpowiadać budynki i ich usytuowanie (Dz. U. nr 75 poz. 590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z późniejszymi zmianami);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Rozporządzenie Ministra Spraw Wewnętrznych i Administracji z dnia 16 sierpnia 1999 r. w sprawie warunków technicznych użytkowania budynków mieszkalnych ( Dz. U. nr 74 poz. 836);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Ustawa Prawo o miarach ( Dz. U. nr 243 z 2004r poz.2441).</w:t>
      </w:r>
    </w:p>
    <w:p w:rsidR="009C0A37" w:rsidRPr="009C0A37" w:rsidRDefault="009C0A37" w:rsidP="009C0A37">
      <w:pPr>
        <w:shd w:val="clear" w:color="auto" w:fill="F8F7F7"/>
        <w:spacing w:before="100" w:beforeAutospacing="1"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3. Ilekroć w regulaminie jest mowa o „użytkowniku lokalu" należy przez to rozumieć: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- lokatora, w rozumieniu ustawy z dnia 21.02.2005r. o ochronie lokatorów, mieszkaniowym zasobie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</w:t>
      </w:r>
      <w:r>
        <w:rPr>
          <w:rFonts w:ascii="Tahoma" w:eastAsia="Times New Roman" w:hAnsi="Tahoma" w:cs="Tahoma"/>
          <w:sz w:val="15"/>
          <w:szCs w:val="15"/>
          <w:lang w:eastAsia="pl-PL"/>
        </w:rPr>
        <w:t xml:space="preserve"> 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Gminy i zmianie Kodeksu Cywilnego;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najemcę lokal</w:t>
      </w:r>
      <w:r>
        <w:rPr>
          <w:rFonts w:ascii="Tahoma" w:eastAsia="Times New Roman" w:hAnsi="Tahoma" w:cs="Tahoma"/>
          <w:sz w:val="20"/>
          <w:szCs w:val="20"/>
          <w:lang w:eastAsia="pl-PL"/>
        </w:rPr>
        <w:t>u użytkowego, który zawarł z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umowę najmu lokalu użytkowego;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osobę zajmującą lokal bez tytułu prawnego;</w:t>
      </w: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za użytkownika niezajętego lokalu (pustostanu) uważa się właściciela lokalu;</w:t>
      </w:r>
    </w:p>
    <w:p w:rsidR="003021BC" w:rsidRDefault="003021BC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021BC" w:rsidRDefault="003021BC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0E53" w:rsidRDefault="00940E53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3021BC" w:rsidRPr="009C0A37" w:rsidRDefault="003021BC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3021BC" w:rsidRDefault="009C0A37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 xml:space="preserve">4. Ilekroć w regulaminie jest mowa o </w:t>
      </w:r>
      <w:r w:rsidR="003021BC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9C0A37" w:rsidRDefault="003021BC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a) </w:t>
      </w:r>
      <w:proofErr w:type="spellStart"/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logotermach</w:t>
      </w:r>
      <w:proofErr w:type="spellEnd"/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, należy przez to rozumieć urządzenie zapewniające dostawę energii cieplnej i służące do </w:t>
      </w:r>
      <w:proofErr w:type="spellStart"/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decentralnego</w:t>
      </w:r>
      <w:proofErr w:type="spellEnd"/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przygotowania ciepłej wody użytkowej oraz ogrzewania i regulacji temperatury w lokalu. </w:t>
      </w:r>
    </w:p>
    <w:p w:rsidR="00007EF5" w:rsidRDefault="003021BC" w:rsidP="00007EF5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b)</w:t>
      </w:r>
      <w:r w:rsidR="00A92D3E">
        <w:rPr>
          <w:rFonts w:ascii="Tahoma" w:eastAsia="Times New Roman" w:hAnsi="Tahoma" w:cs="Tahoma"/>
          <w:sz w:val="20"/>
          <w:szCs w:val="20"/>
          <w:lang w:eastAsia="pl-PL"/>
        </w:rPr>
        <w:t xml:space="preserve"> kocioł gazowy d</w:t>
      </w:r>
      <w:r w:rsidR="00007EF5">
        <w:rPr>
          <w:rFonts w:ascii="Tahoma" w:eastAsia="Times New Roman" w:hAnsi="Tahoma" w:cs="Tahoma"/>
          <w:sz w:val="20"/>
          <w:szCs w:val="20"/>
          <w:lang w:eastAsia="pl-PL"/>
        </w:rPr>
        <w:t>wufunkcyjny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07EF5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, należy przez to rozumieć urządzenie </w:t>
      </w:r>
      <w:r w:rsidR="00007EF5">
        <w:rPr>
          <w:rFonts w:ascii="Tahoma" w:eastAsia="Times New Roman" w:hAnsi="Tahoma" w:cs="Tahoma"/>
          <w:sz w:val="20"/>
          <w:szCs w:val="20"/>
          <w:lang w:eastAsia="pl-PL"/>
        </w:rPr>
        <w:t xml:space="preserve">gazowe </w:t>
      </w:r>
      <w:r w:rsidR="00007EF5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służące do przygotowania ciepłej wody użytkowej oraz ogrzewania i regulacji temperatury w lokalu. </w:t>
      </w:r>
    </w:p>
    <w:p w:rsidR="003021BC" w:rsidRPr="009C0A37" w:rsidRDefault="003021BC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3</w:t>
      </w:r>
    </w:p>
    <w:p w:rsidR="00007EF5" w:rsidRPr="00007EF5" w:rsidRDefault="009C0A37" w:rsidP="00007EF5">
      <w:pPr>
        <w:pStyle w:val="Akapitzlist"/>
        <w:numPr>
          <w:ilvl w:val="0"/>
          <w:numId w:val="46"/>
        </w:numPr>
        <w:shd w:val="clear" w:color="auto" w:fill="F8F7F7"/>
        <w:spacing w:before="100" w:beforeAutospacing="1" w:after="100" w:afterAutospacing="1" w:line="240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007EF5">
        <w:rPr>
          <w:rFonts w:ascii="Tahoma" w:eastAsia="Times New Roman" w:hAnsi="Tahoma" w:cs="Tahoma"/>
          <w:sz w:val="20"/>
          <w:szCs w:val="20"/>
          <w:lang w:eastAsia="pl-PL"/>
        </w:rPr>
        <w:t xml:space="preserve">Rozliczeniu podlegają </w:t>
      </w:r>
      <w:r w:rsidR="00007EF5" w:rsidRPr="00007EF5">
        <w:rPr>
          <w:rFonts w:ascii="Tahoma" w:eastAsia="Times New Roman" w:hAnsi="Tahoma" w:cs="Tahoma"/>
          <w:sz w:val="20"/>
          <w:szCs w:val="20"/>
          <w:lang w:eastAsia="pl-PL"/>
        </w:rPr>
        <w:t>:</w:t>
      </w:r>
    </w:p>
    <w:p w:rsidR="009C0A37" w:rsidRPr="00A92D3E" w:rsidRDefault="009C0A37" w:rsidP="00007EF5">
      <w:pPr>
        <w:pStyle w:val="Akapitzlist"/>
        <w:numPr>
          <w:ilvl w:val="0"/>
          <w:numId w:val="47"/>
        </w:num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007EF5">
        <w:rPr>
          <w:rFonts w:ascii="Tahoma" w:eastAsia="Times New Roman" w:hAnsi="Tahoma" w:cs="Tahoma"/>
          <w:sz w:val="20"/>
          <w:szCs w:val="20"/>
          <w:lang w:eastAsia="pl-PL"/>
        </w:rPr>
        <w:t>koszty dostawy ciepła do budynku ponoszone przez ŚTBS w związku z opłatami uiszczanymi zewnętrznym dostawcom ciepła.</w:t>
      </w:r>
    </w:p>
    <w:p w:rsidR="00A92D3E" w:rsidRPr="00007EF5" w:rsidRDefault="00A92D3E" w:rsidP="00007EF5">
      <w:pPr>
        <w:pStyle w:val="Akapitzlist"/>
        <w:numPr>
          <w:ilvl w:val="0"/>
          <w:numId w:val="47"/>
        </w:num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Koszty utrzymania instalacji </w:t>
      </w:r>
      <w:r w:rsidR="0001198E">
        <w:rPr>
          <w:rFonts w:ascii="Tahoma" w:eastAsia="Times New Roman" w:hAnsi="Tahoma" w:cs="Tahoma"/>
          <w:sz w:val="20"/>
          <w:szCs w:val="20"/>
          <w:lang w:eastAsia="pl-PL"/>
        </w:rPr>
        <w:t xml:space="preserve">ponoszone przez ŚTBS w związku  </w:t>
      </w:r>
      <w:r w:rsidR="0001198E" w:rsidRPr="00007EF5">
        <w:rPr>
          <w:rFonts w:ascii="Tahoma" w:eastAsia="Times New Roman" w:hAnsi="Tahoma" w:cs="Tahoma"/>
          <w:sz w:val="20"/>
          <w:szCs w:val="20"/>
          <w:lang w:eastAsia="pl-PL"/>
        </w:rPr>
        <w:t xml:space="preserve">z </w:t>
      </w:r>
      <w:r w:rsidR="0001198E">
        <w:rPr>
          <w:rFonts w:ascii="Tahoma" w:eastAsia="Times New Roman" w:hAnsi="Tahoma" w:cs="Tahoma"/>
          <w:sz w:val="20"/>
          <w:szCs w:val="20"/>
          <w:lang w:eastAsia="pl-PL"/>
        </w:rPr>
        <w:t xml:space="preserve">uiszczanymi </w:t>
      </w:r>
      <w:r w:rsidR="0001198E" w:rsidRPr="00007EF5">
        <w:rPr>
          <w:rFonts w:ascii="Tahoma" w:eastAsia="Times New Roman" w:hAnsi="Tahoma" w:cs="Tahoma"/>
          <w:sz w:val="20"/>
          <w:szCs w:val="20"/>
          <w:lang w:eastAsia="pl-PL"/>
        </w:rPr>
        <w:t xml:space="preserve">opłatami </w:t>
      </w:r>
      <w:r w:rsidR="0001198E">
        <w:rPr>
          <w:rFonts w:ascii="Tahoma" w:eastAsia="Times New Roman" w:hAnsi="Tahoma" w:cs="Tahoma"/>
          <w:sz w:val="20"/>
          <w:szCs w:val="20"/>
          <w:lang w:eastAsia="pl-PL"/>
        </w:rPr>
        <w:t xml:space="preserve">stałymi  zewnętrznym dostawcom usług. </w:t>
      </w:r>
    </w:p>
    <w:p w:rsidR="009C0A37" w:rsidRPr="009C0A37" w:rsidRDefault="009C0A37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2. Rozliczenia dokonuje się odrębnie dla każdego budynku, a jeżeli uwarunkowane jest to niemożnością zainstalowania układów pomiarowych odrębnych dla każdego budynku to dla grupy budynków.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4</w:t>
      </w: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Rozliczenia kosztów zużycia energii cieplnej  dokonuje się w 12 miesięcznych okresach rozliczeniowych 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w terminie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do 6-ciu miesięcy od zakończenia okresu rozliczeniowego.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5</w:t>
      </w:r>
    </w:p>
    <w:p w:rsidR="009C0A37" w:rsidRPr="009C0A37" w:rsidRDefault="009C0A37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1. Rozliczeniu podlega sum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a kosztów poniesionych przez ŚTBS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na zakup energii cieplnej do budynku lub grupy budynków w danym okresie rozliczeniowym, w oparciu o faktury wystawione przez dostawców. </w:t>
      </w:r>
    </w:p>
    <w:p w:rsidR="009C0A37" w:rsidRPr="009C0A37" w:rsidRDefault="009C0A37" w:rsidP="009C0A37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2. Na sumę kosztów zakupu </w:t>
      </w:r>
      <w:r w:rsidR="0001198E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01198E" w:rsidRPr="009C0A37">
        <w:rPr>
          <w:rFonts w:ascii="Tahoma" w:eastAsia="Times New Roman" w:hAnsi="Tahoma" w:cs="Tahoma"/>
          <w:sz w:val="20"/>
          <w:szCs w:val="20"/>
          <w:lang w:eastAsia="pl-PL"/>
        </w:rPr>
        <w:t>składają się następujące składniki</w:t>
      </w:r>
      <w:r w:rsidR="0001198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01198E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: </w:t>
      </w:r>
    </w:p>
    <w:p w:rsidR="0001198E" w:rsidRDefault="0001198E" w:rsidP="00BE4B18">
      <w:pPr>
        <w:shd w:val="clear" w:color="auto" w:fill="F8F7F7"/>
        <w:spacing w:before="100" w:beforeAutospacing="1" w:after="100" w:afterAutospacing="1" w:line="240" w:lineRule="auto"/>
        <w:ind w:firstLine="708"/>
        <w:outlineLvl w:val="0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2.1. dla kosztów, o których mowa w §3, ust.1a. </w:t>
      </w:r>
    </w:p>
    <w:p w:rsidR="009C0A37" w:rsidRP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a) opłata za ciepło; </w:t>
      </w:r>
    </w:p>
    <w:p w:rsidR="009C0A37" w:rsidRP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b) opłata za przesył ciepła; </w:t>
      </w:r>
    </w:p>
    <w:p w:rsidR="009C0A37" w:rsidRP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c) opłata za nośnik; </w:t>
      </w:r>
    </w:p>
    <w:p w:rsidR="009C0A37" w:rsidRP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d) opłata za moc zamówioną; </w:t>
      </w:r>
    </w:p>
    <w:p w:rsidR="009C0A37" w:rsidRP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e) opłata za przesył mocy zamówionej;</w:t>
      </w:r>
    </w:p>
    <w:p w:rsidR="009C0A37" w:rsidRP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f) opłata abonamentowa </w:t>
      </w:r>
    </w:p>
    <w:p w:rsidR="009C0A37" w:rsidRDefault="009C0A37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g) o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płata wynikająca z różnicy wskazań licznika głównego (na podstawie których, dostawca energii cieplne</w:t>
      </w:r>
      <w:r>
        <w:rPr>
          <w:rFonts w:ascii="Tahoma" w:eastAsia="Times New Roman" w:hAnsi="Tahoma" w:cs="Tahoma"/>
          <w:sz w:val="20"/>
          <w:szCs w:val="20"/>
          <w:lang w:eastAsia="pl-PL"/>
        </w:rPr>
        <w:t>j obciąża kosztami zmiennymi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), w stosunku do sumy wskazań liczników mieszkaniowych;</w:t>
      </w:r>
    </w:p>
    <w:p w:rsidR="0001198E" w:rsidRDefault="0001198E" w:rsidP="0001198E">
      <w:pPr>
        <w:shd w:val="clear" w:color="auto" w:fill="F8F7F7"/>
        <w:spacing w:after="0" w:line="240" w:lineRule="auto"/>
        <w:ind w:left="1416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01198E" w:rsidRDefault="0001198E" w:rsidP="00BE4B18">
      <w:pPr>
        <w:shd w:val="clear" w:color="auto" w:fill="F8F7F7"/>
        <w:spacing w:after="0" w:line="240" w:lineRule="auto"/>
        <w:ind w:firstLine="709"/>
        <w:outlineLvl w:val="0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2.2.</w:t>
      </w:r>
      <w:r w:rsidRPr="0001198E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>
        <w:rPr>
          <w:rFonts w:ascii="Tahoma" w:eastAsia="Times New Roman" w:hAnsi="Tahoma" w:cs="Tahoma"/>
          <w:sz w:val="20"/>
          <w:szCs w:val="20"/>
          <w:lang w:eastAsia="pl-PL"/>
        </w:rPr>
        <w:t>dla kosztów, o których mowa w §3,</w:t>
      </w:r>
      <w:r w:rsidR="00940E53">
        <w:rPr>
          <w:rFonts w:ascii="Tahoma" w:eastAsia="Times New Roman" w:hAnsi="Tahoma" w:cs="Tahoma"/>
          <w:sz w:val="20"/>
          <w:szCs w:val="20"/>
          <w:lang w:eastAsia="pl-PL"/>
        </w:rPr>
        <w:t xml:space="preserve"> ust.1b</w:t>
      </w:r>
      <w:r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01198E" w:rsidRDefault="0001198E" w:rsidP="0001198E">
      <w:pPr>
        <w:shd w:val="clear" w:color="auto" w:fill="F8F7F7"/>
        <w:spacing w:after="0" w:line="240" w:lineRule="auto"/>
        <w:ind w:left="708" w:firstLine="709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a) opłata za coroczny przegląd kotłów gazowych</w:t>
      </w:r>
    </w:p>
    <w:p w:rsidR="0001198E" w:rsidRDefault="0001198E" w:rsidP="0001198E">
      <w:pPr>
        <w:shd w:val="clear" w:color="auto" w:fill="F8F7F7"/>
        <w:spacing w:after="0" w:line="240" w:lineRule="auto"/>
        <w:ind w:left="708" w:firstLine="709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b) amortyzacja kotła</w:t>
      </w:r>
    </w:p>
    <w:p w:rsidR="0001198E" w:rsidRDefault="0001198E" w:rsidP="0001198E">
      <w:pPr>
        <w:shd w:val="clear" w:color="auto" w:fill="F8F7F7"/>
        <w:spacing w:after="0" w:line="240" w:lineRule="auto"/>
        <w:ind w:left="708" w:firstLine="709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c) wymiana wodomierza zimnej wody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 co 5 lat</w:t>
      </w:r>
    </w:p>
    <w:p w:rsidR="0001198E" w:rsidRPr="009C0A37" w:rsidRDefault="0001198E" w:rsidP="0001198E">
      <w:pPr>
        <w:shd w:val="clear" w:color="auto" w:fill="F8F7F7"/>
        <w:spacing w:after="0" w:line="240" w:lineRule="auto"/>
        <w:ind w:firstLine="709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3A6A88" w:rsidP="0001198E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3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. Opłata za dostarczoną do lokalu energię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i opłata, o której mowa w §5, pkt. 2.2.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pobierana jest przez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 12 miesięcy w roku. Opłata ta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ma charakter zaliczkowy i podlega rozliczeniu w okresach r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ozliczeniowych, o których mowa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w § 4 regulaminu.</w:t>
      </w:r>
    </w:p>
    <w:p w:rsidR="009C0A37" w:rsidRPr="009C0A37" w:rsidRDefault="003A6A88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4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. Wysokość opłaty zaliczkowej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dla lokali wyposażonych w </w:t>
      </w:r>
      <w:proofErr w:type="spellStart"/>
      <w:r w:rsidR="00BE4B18">
        <w:rPr>
          <w:rFonts w:ascii="Tahoma" w:eastAsia="Times New Roman" w:hAnsi="Tahoma" w:cs="Tahoma"/>
          <w:sz w:val="20"/>
          <w:szCs w:val="20"/>
          <w:lang w:eastAsia="pl-PL"/>
        </w:rPr>
        <w:t>logotermy</w:t>
      </w:r>
      <w:proofErr w:type="spellEnd"/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ustalana jest w przeliczeniu na 1 m </w:t>
      </w:r>
      <w:r w:rsidR="009C0A37" w:rsidRPr="009C0A3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 xml:space="preserve">2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powierzchni użytkowej lokalu a dla lokali wyposażonych w kotły gazowe dwufunkcyjne w przeliczeniu na 1 lokal,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w oparciu o koszty ponoszone w poprzednim okresi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e rozliczeniowym powiększone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o prognozowany wzrost cen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9C0A37" w:rsidRPr="009C0A37" w:rsidRDefault="003A6A88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5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. W przypadku nieuregulowania w terminie należności wynikających z tytułu ustalonych opłat zaliczkowych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naliczane będą odsetki.</w:t>
      </w:r>
    </w:p>
    <w:p w:rsidR="009C0A37" w:rsidRDefault="003A6A88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6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. Wysokość opłaty zaliczkowej może ulec zmianie w okresie rozliczeniowym: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- w przypadku wprowadzenia przez dostawców mediów zmian taryf;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- w 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>przypadku stwierdzenia przez ŚTBS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znacznego spadku lub wzrostu kosztów w trakcie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okresu rozliczeniowego.</w:t>
      </w:r>
    </w:p>
    <w:p w:rsidR="007419CE" w:rsidRPr="009C0A37" w:rsidRDefault="007419CE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6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1. Odczyty urządzeń pomiarowych dokonywane będą przez firmę specja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>listyczną, przez pracowników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lub inne upoważnione osoby.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2. O terminie dokonywania odczytów osoba upoważniona powiadamia użytkowników lokali przez odpowiednie ogłoszenie umieszczane na klatkach schodowych.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7</w:t>
      </w:r>
    </w:p>
    <w:p w:rsidR="009C0A37" w:rsidRPr="009C0A37" w:rsidRDefault="009C0A37" w:rsidP="00BE4B18">
      <w:pPr>
        <w:shd w:val="clear" w:color="auto" w:fill="F8F7F7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1. Do celów rozliczeń całkowity koszt energii cieplnej budynku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wyposażonego w indywidualne logo termy ,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dzieli się na :</w:t>
      </w:r>
    </w:p>
    <w:p w:rsidR="009C0A37" w:rsidRPr="009C0A37" w:rsidRDefault="009C0A37" w:rsidP="009C0A37">
      <w:pPr>
        <w:numPr>
          <w:ilvl w:val="0"/>
          <w:numId w:val="23"/>
        </w:numPr>
        <w:shd w:val="clear" w:color="auto" w:fill="F8F7F7"/>
        <w:spacing w:before="100" w:beforeAutospacing="1" w:after="100" w:afterAutospacing="1" w:line="240" w:lineRule="auto"/>
        <w:ind w:left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koszt zmienny - koszt zużycia energii cieplnej w poszczególnych lokalach w budynku (na centralne ogrzewanie i podgrzanie wody), ustalony jako 70 % kosztów, o których mowa w § 2 niniejszego rozdziału; </w:t>
      </w:r>
    </w:p>
    <w:p w:rsidR="009C0A37" w:rsidRPr="009C0A37" w:rsidRDefault="009C0A37" w:rsidP="009C0A37">
      <w:pPr>
        <w:numPr>
          <w:ilvl w:val="0"/>
          <w:numId w:val="24"/>
        </w:numPr>
        <w:shd w:val="clear" w:color="auto" w:fill="F8F7F7"/>
        <w:spacing w:before="100" w:beforeAutospacing="1" w:after="100" w:afterAutospacing="1" w:line="240" w:lineRule="auto"/>
        <w:ind w:left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koszt stały - pozostały koszt (straty ciepła, opłaty stałe) ustalony na poziomie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30 % kosztów, o których mowa w § 2 niniejszego rozdziału.</w:t>
      </w:r>
    </w:p>
    <w:p w:rsidR="009C0A37" w:rsidRPr="009C0A37" w:rsidRDefault="009C0A37" w:rsidP="00BE4B18">
      <w:pPr>
        <w:shd w:val="clear" w:color="auto" w:fill="F8F7F7"/>
        <w:spacing w:before="100" w:beforeAutospacing="1" w:after="100" w:afterAutospacing="1" w:line="240" w:lineRule="auto"/>
        <w:outlineLvl w:val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2. Rozliczenia kosztów ciepła w lokalu dokonuje się poprzez:</w:t>
      </w:r>
    </w:p>
    <w:p w:rsidR="009C0A37" w:rsidRPr="009C0A37" w:rsidRDefault="009C0A37" w:rsidP="009C0A37">
      <w:pPr>
        <w:numPr>
          <w:ilvl w:val="0"/>
          <w:numId w:val="26"/>
        </w:numPr>
        <w:shd w:val="clear" w:color="auto" w:fill="F8F7F7"/>
        <w:spacing w:before="100" w:beforeAutospacing="1" w:after="100" w:afterAutospacing="1" w:line="240" w:lineRule="auto"/>
        <w:ind w:left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wyliczenie kosztu zmiennego, który jest iloczynem zużytych GJ (według wskazań </w:t>
      </w:r>
      <w:proofErr w:type="spellStart"/>
      <w:r w:rsidRPr="009C0A37">
        <w:rPr>
          <w:rFonts w:ascii="Tahoma" w:eastAsia="Times New Roman" w:hAnsi="Tahoma" w:cs="Tahoma"/>
          <w:sz w:val="20"/>
          <w:szCs w:val="20"/>
          <w:lang w:eastAsia="pl-PL"/>
        </w:rPr>
        <w:t>logoterm</w:t>
      </w:r>
      <w:proofErr w:type="spellEnd"/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)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i jednostkowej stawki 1 GJ stanowiącej wartość ilorazu kosztu zmiennego (§ 4 regulaminu) oraz sumy GJ zużytych przez wszystkie lokale w budynku;</w:t>
      </w:r>
    </w:p>
    <w:p w:rsidR="009C0A37" w:rsidRPr="009C0A37" w:rsidRDefault="009C0A37" w:rsidP="009C0A37">
      <w:pPr>
        <w:numPr>
          <w:ilvl w:val="0"/>
          <w:numId w:val="27"/>
        </w:numPr>
        <w:shd w:val="clear" w:color="auto" w:fill="F8F7F7"/>
        <w:spacing w:before="100" w:beforeAutospacing="1" w:after="100" w:afterAutospacing="1" w:line="240" w:lineRule="auto"/>
        <w:ind w:left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obliczenie opłaty zmiennej przypadającej na dany lokal, która jest iloczynem zużytych GJ w lokalu i wyliczonej stawki jednostkowej za 1 GJ;</w:t>
      </w:r>
    </w:p>
    <w:p w:rsidR="007419CE" w:rsidRPr="007419CE" w:rsidRDefault="009C0A37" w:rsidP="007419CE">
      <w:pPr>
        <w:numPr>
          <w:ilvl w:val="0"/>
          <w:numId w:val="29"/>
        </w:numPr>
        <w:shd w:val="clear" w:color="auto" w:fill="F8F7F7"/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wyliczenie kosztu stałego jako średniej ceny jednostkowej za 1 m </w:t>
      </w:r>
      <w:r w:rsidRPr="009C0A3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 xml:space="preserve">2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w danym okresie rozliczeniowym stanowiącej wartość ilorazu kosztów stałych i łącznej powierzchni grzewczej budynku </w:t>
      </w:r>
      <w:r w:rsidR="007419CE" w:rsidRPr="007419CE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9C0A37" w:rsidRDefault="009C0A37" w:rsidP="007419CE">
      <w:pPr>
        <w:numPr>
          <w:ilvl w:val="0"/>
          <w:numId w:val="29"/>
        </w:numPr>
        <w:shd w:val="clear" w:color="auto" w:fill="F8F7F7"/>
        <w:spacing w:before="100" w:beforeAutospacing="1" w:after="100" w:afterAutospacing="1" w:line="360" w:lineRule="auto"/>
        <w:ind w:left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obliczenie opłaty stałej przypadającej na dany lokal jako iloczyn powierzchni grzewczej lokalu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i wyliczonej stawki jednostkowej za 1 m</w:t>
      </w:r>
      <w:r w:rsidRPr="009C0A37">
        <w:rPr>
          <w:rFonts w:ascii="Tahoma" w:eastAsia="Times New Roman" w:hAnsi="Tahoma" w:cs="Tahoma"/>
          <w:sz w:val="20"/>
          <w:szCs w:val="20"/>
          <w:vertAlign w:val="superscript"/>
          <w:lang w:eastAsia="pl-PL"/>
        </w:rPr>
        <w:t xml:space="preserve"> 2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przy uwzględnieniu współczynników wyrównawczych</w:t>
      </w:r>
      <w:r w:rsidRPr="009C0A37">
        <w:rPr>
          <w:rFonts w:ascii="Tahoma" w:eastAsia="Times New Roman" w:hAnsi="Tahoma" w:cs="Tahoma"/>
          <w:sz w:val="15"/>
          <w:szCs w:val="15"/>
          <w:lang w:eastAsia="pl-PL"/>
        </w:rPr>
        <w:t>.</w:t>
      </w:r>
    </w:p>
    <w:p w:rsidR="008E551C" w:rsidRPr="009C0A37" w:rsidRDefault="008E551C" w:rsidP="008E551C">
      <w:pPr>
        <w:shd w:val="clear" w:color="auto" w:fill="F8F7F7"/>
        <w:spacing w:before="100" w:beforeAutospacing="1" w:after="100" w:afterAutospacing="1" w:line="36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BE4B18">
      <w:pPr>
        <w:shd w:val="clear" w:color="auto" w:fill="F8F7F7"/>
        <w:spacing w:after="0" w:line="240" w:lineRule="auto"/>
        <w:jc w:val="center"/>
        <w:outlineLvl w:val="0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lastRenderedPageBreak/>
        <w:t>§ 8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1. Jeżeli w wyniku indywidualnego rozliczenia okaże się, iż wniesione przez użytkownika lokalu zaliczki w okresie rozliczeniowym nie pokryją kosztów lokalu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, o których mowa § 5,ust.2 ,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to wówczas zobowiązany jest on do pokrycia różnicy w wyznaczonym w zawiadomieniu o rozliczeniu terminie. 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2. Od wpłat dokonanych po tym terminie będą naliczane odsetki.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3. Jeżeli w wyniku indywidualnego rozliczenia okaże się, iż wniesione przez użytkownika lokalu zaliczki w okresie rozliczeniowym będą wyższe od kosztów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lokalu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to wówczas nadwyżka ulega rozliczeniu</w:t>
      </w:r>
      <w:r w:rsidR="00940E53">
        <w:rPr>
          <w:rFonts w:ascii="Tahoma" w:eastAsia="Times New Roman" w:hAnsi="Tahoma" w:cs="Tahoma"/>
          <w:sz w:val="20"/>
          <w:szCs w:val="20"/>
          <w:lang w:eastAsia="pl-PL"/>
        </w:rPr>
        <w:t xml:space="preserve"> w następnym miesiącu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9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1. Do rozliczania kosztów dostawy energii cieplnej do lokalu przyjmowana jest aktualna powierzchnia grzewcza lokali wynikająca z umowy najmu lokalu lub innego dokumentu określającego powierzchnię grzewczą lub użytkową.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2. Przez powierzchnię grzewczą należy rozumieć powierzchnię użytkową lokali, w których znajdują się grzejniki oraz powierzchnię pomieszczeń wchodzących w skład lokali (np. przedpokój, łazienka, ubikacja itp.) nawet, jeżeli w pomieszczeniach tych nie ma grzejników.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3. Zmiana powierzchni grzewczej lokalu w rozliczeniu przyjmowana jest od na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 xml:space="preserve">stępnego miesiąca, 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br/>
        <w:t>w którym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powziął </w:t>
      </w:r>
      <w:r w:rsidR="00940E53">
        <w:rPr>
          <w:rFonts w:ascii="Tahoma" w:eastAsia="Times New Roman" w:hAnsi="Tahoma" w:cs="Tahoma"/>
          <w:sz w:val="20"/>
          <w:szCs w:val="20"/>
          <w:lang w:eastAsia="pl-PL"/>
        </w:rPr>
        <w:t xml:space="preserve">potwierdzoną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informację o zmianie.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10</w:t>
      </w:r>
    </w:p>
    <w:p w:rsidR="00940E53" w:rsidRDefault="007419CE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1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. Rozliczenie kosztów przypadających na poprzedniego użytkownika lokalu dokonuje się w oparciu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o koszty poniesione w danym okresie rozliczeniowym do czasu zamiany lokalu. </w:t>
      </w:r>
    </w:p>
    <w:p w:rsidR="009C0A37" w:rsidRPr="009C0A37" w:rsidRDefault="007419CE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2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>. W przypadku oddania lo</w:t>
      </w:r>
      <w:r>
        <w:rPr>
          <w:rFonts w:ascii="Tahoma" w:eastAsia="Times New Roman" w:hAnsi="Tahoma" w:cs="Tahoma"/>
          <w:sz w:val="20"/>
          <w:szCs w:val="20"/>
          <w:lang w:eastAsia="pl-PL"/>
        </w:rPr>
        <w:t>kalu do dyspozycji ŚTBS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, rozliczenia kosztów przypadających na lokal 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za okres do zakończenia użytkowania lokalu dokonuje się w oparciu o koszty poniesione w danym okresie rozliczeniowym do</w:t>
      </w: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czasu przekazania lokalu do ŚTBS</w:t>
      </w:r>
      <w:r w:rsidR="009C0A37"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. 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11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1. Odwołanie dotyczące rozliczenia kosztów </w:t>
      </w:r>
      <w:r w:rsidR="00BE4B18">
        <w:rPr>
          <w:rFonts w:ascii="Tahoma" w:eastAsia="Times New Roman" w:hAnsi="Tahoma" w:cs="Tahoma"/>
          <w:sz w:val="20"/>
          <w:szCs w:val="20"/>
          <w:lang w:eastAsia="pl-PL"/>
        </w:rPr>
        <w:t xml:space="preserve">można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składać w miejscu określonym w zawiadomieniu w terminie 30 dni od daty dostarczenia rozliczenia, w przeciwnym wypadku reklamacja nie będzie rozpatrywana. Odwołani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>e rozpatrzone zostanie przez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w terminie 30 dni od daty jego wniesienia. 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2. Złożenie odwołania nie zwalnia użytkownika od obowiązku uiszczenia wyliczonego niedoboru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w wyznaczonym terminie.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§12</w:t>
      </w:r>
    </w:p>
    <w:p w:rsidR="009C0A37" w:rsidRP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1. W szczególnie uzasadnionych przypadkach, a w szczególności w razie niewspółmiernego (zbyt dużego lub zbyt małego) w stosunku do wynikającego z normalnego użytkowania lokalu zużycia ciepła wykazanego przez urządzenie pomiarowe, istnieje możliwość rozliczenia lokalu do wysokości kosztów wynikających z kosztów ogrzania 1m2 w budynku w danym okresie rozliczeniowym. Każdy taki przypadek rozpatrywany jest indywidualnie.</w:t>
      </w:r>
    </w:p>
    <w:p w:rsidR="009C0A37" w:rsidRDefault="009C0A37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2. W sytuacji, w której lokal w poprzedzającym okresie rozliczeniowym został rozliczony wg powierzchni grzewczej, w bieżącym okresie rozliczeniowym, odczyt początkowy zostanie uśredniony 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na podstawie odczytu początkowego okresu poprzedzającego i odczytu końcowego okresu bieżącego.</w:t>
      </w:r>
    </w:p>
    <w:p w:rsidR="00200A52" w:rsidRPr="009C0A37" w:rsidRDefault="00200A52" w:rsidP="007419CE">
      <w:pPr>
        <w:shd w:val="clear" w:color="auto" w:fill="F8F7F7"/>
        <w:spacing w:before="100" w:beforeAutospacing="1" w:after="100" w:afterAutospacing="1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13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W przypadku stwierdzenia faktu: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15"/>
          <w:szCs w:val="15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uszkodzenia urządzeń wskaźnikowych;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- uszkodzenia plomb na urządzeniach;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- zdemont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>owania lub wymiany bez zgody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grzejników lub urządzeń pomiarowych;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- prób zafałszowania pomiarów urządzeń,</w:t>
      </w:r>
    </w:p>
    <w:p w:rsidR="009C0A37" w:rsidRP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użytkownik lokalu zobowiązany będzie do pokrycia kosztu wymiany urządzenia a koszt zużycia energii cieplnej zostanie wyliczony proporcjonalnie do powierzchni grzewczej lokalu powiększonej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o 30 %.</w:t>
      </w: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14</w:t>
      </w: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Niedopuszczalna jest jakakolwiek ingerencja użytkownika lokalu w instalację cent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>ralnego ogrzewania bez zgody ŚTBS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, a w szczególności: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- montaż dodatkowych grzejników lub powiększenie istniejących oraz wymiana grzejników dotychczasowych,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br/>
        <w:t>- spuszczanie wody z instalacji centralnego ogrzewania</w:t>
      </w:r>
    </w:p>
    <w:p w:rsidR="007419CE" w:rsidRPr="009C0A37" w:rsidRDefault="007419CE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15</w:t>
      </w: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W sytuacji, gdy zostanie stwierdzone przez osoby upoważnione, że część urządzeń pomiarowych (powyżej 30% urządzeń </w:t>
      </w:r>
      <w:proofErr w:type="spellStart"/>
      <w:r w:rsidRPr="009C0A37">
        <w:rPr>
          <w:rFonts w:ascii="Tahoma" w:eastAsia="Times New Roman" w:hAnsi="Tahoma" w:cs="Tahoma"/>
          <w:sz w:val="20"/>
          <w:szCs w:val="20"/>
          <w:lang w:eastAsia="pl-PL"/>
        </w:rPr>
        <w:t>opomiarowujących</w:t>
      </w:r>
      <w:proofErr w:type="spellEnd"/>
      <w:r w:rsidRPr="009C0A37">
        <w:rPr>
          <w:rFonts w:ascii="Tahoma" w:eastAsia="Times New Roman" w:hAnsi="Tahoma" w:cs="Tahoma"/>
          <w:sz w:val="20"/>
          <w:szCs w:val="20"/>
          <w:lang w:eastAsia="pl-PL"/>
        </w:rPr>
        <w:t>) jest wadliwa lub wykazuje błędy powodujące fałszywe wskazania, rozliczenie zostanie wykonane wg powierzchni lokali.</w:t>
      </w:r>
    </w:p>
    <w:p w:rsidR="00940E53" w:rsidRDefault="00940E53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7419CE" w:rsidRPr="009C0A37" w:rsidRDefault="007419CE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</w:p>
    <w:p w:rsidR="009C0A37" w:rsidRPr="009C0A37" w:rsidRDefault="009C0A37" w:rsidP="009C0A37">
      <w:pPr>
        <w:shd w:val="clear" w:color="auto" w:fill="F8F7F7"/>
        <w:spacing w:after="0" w:line="240" w:lineRule="auto"/>
        <w:jc w:val="center"/>
        <w:rPr>
          <w:rFonts w:ascii="Tahoma" w:eastAsia="Times New Roman" w:hAnsi="Tahoma" w:cs="Tahoma"/>
          <w:sz w:val="15"/>
          <w:szCs w:val="15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§ 16</w:t>
      </w:r>
    </w:p>
    <w:p w:rsidR="009C0A37" w:rsidRDefault="009C0A37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9C0A37">
        <w:rPr>
          <w:rFonts w:ascii="Tahoma" w:eastAsia="Times New Roman" w:hAnsi="Tahoma" w:cs="Tahoma"/>
          <w:sz w:val="20"/>
          <w:szCs w:val="20"/>
          <w:lang w:eastAsia="pl-PL"/>
        </w:rPr>
        <w:t>Regu</w:t>
      </w:r>
      <w:r w:rsidR="008E551C">
        <w:rPr>
          <w:rFonts w:ascii="Tahoma" w:eastAsia="Times New Roman" w:hAnsi="Tahoma" w:cs="Tahoma"/>
          <w:sz w:val="20"/>
          <w:szCs w:val="20"/>
          <w:lang w:eastAsia="pl-PL"/>
        </w:rPr>
        <w:t>lamin wchodzi w życie z dniem 01</w:t>
      </w:r>
      <w:r w:rsidR="003A6A88">
        <w:rPr>
          <w:rFonts w:ascii="Tahoma" w:eastAsia="Times New Roman" w:hAnsi="Tahoma" w:cs="Tahoma"/>
          <w:sz w:val="20"/>
          <w:szCs w:val="20"/>
          <w:lang w:eastAsia="pl-PL"/>
        </w:rPr>
        <w:t>.01</w:t>
      </w:r>
      <w:r w:rsidR="007419CE">
        <w:rPr>
          <w:rFonts w:ascii="Tahoma" w:eastAsia="Times New Roman" w:hAnsi="Tahoma" w:cs="Tahoma"/>
          <w:sz w:val="20"/>
          <w:szCs w:val="20"/>
          <w:lang w:eastAsia="pl-PL"/>
        </w:rPr>
        <w:t>.2012</w:t>
      </w:r>
      <w:r w:rsidRPr="009C0A37">
        <w:rPr>
          <w:rFonts w:ascii="Tahoma" w:eastAsia="Times New Roman" w:hAnsi="Tahoma" w:cs="Tahoma"/>
          <w:sz w:val="20"/>
          <w:szCs w:val="20"/>
          <w:lang w:eastAsia="pl-PL"/>
        </w:rPr>
        <w:t xml:space="preserve"> r. </w:t>
      </w:r>
    </w:p>
    <w:p w:rsidR="00940E53" w:rsidRDefault="00940E53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0E53" w:rsidRDefault="00940E53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0E53" w:rsidRDefault="00940E53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940E53" w:rsidRPr="009C0A37" w:rsidRDefault="00D626A1" w:rsidP="009C0A37">
      <w:pPr>
        <w:shd w:val="clear" w:color="auto" w:fill="F8F7F7"/>
        <w:spacing w:after="0" w:line="240" w:lineRule="auto"/>
        <w:rPr>
          <w:rFonts w:ascii="Tahoma" w:eastAsia="Times New Roman" w:hAnsi="Tahoma" w:cs="Tahoma"/>
          <w:sz w:val="15"/>
          <w:szCs w:val="15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Regulamin zatwierdzony uchwałą R</w:t>
      </w:r>
      <w:r w:rsidR="00940E53">
        <w:rPr>
          <w:rFonts w:ascii="Tahoma" w:eastAsia="Times New Roman" w:hAnsi="Tahoma" w:cs="Tahoma"/>
          <w:sz w:val="20"/>
          <w:szCs w:val="20"/>
          <w:lang w:eastAsia="pl-PL"/>
        </w:rPr>
        <w:t xml:space="preserve">ady Nadzorczej ŚTBS nr 3/2011 w dniu 21.12.2011r. </w:t>
      </w:r>
    </w:p>
    <w:p w:rsidR="00941826" w:rsidRPr="009C0A37" w:rsidRDefault="00941826"/>
    <w:sectPr w:rsidR="00941826" w:rsidRPr="009C0A37" w:rsidSect="0094182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EDB" w:rsidRDefault="00361EDB" w:rsidP="00D71DE5">
      <w:pPr>
        <w:spacing w:after="0" w:line="240" w:lineRule="auto"/>
      </w:pPr>
      <w:r>
        <w:separator/>
      </w:r>
    </w:p>
  </w:endnote>
  <w:endnote w:type="continuationSeparator" w:id="0">
    <w:p w:rsidR="00361EDB" w:rsidRDefault="00361EDB" w:rsidP="00D7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EDB" w:rsidRDefault="00361EDB" w:rsidP="00D71DE5">
      <w:pPr>
        <w:spacing w:after="0" w:line="240" w:lineRule="auto"/>
      </w:pPr>
      <w:r>
        <w:separator/>
      </w:r>
    </w:p>
  </w:footnote>
  <w:footnote w:type="continuationSeparator" w:id="0">
    <w:p w:rsidR="00361EDB" w:rsidRDefault="00361EDB" w:rsidP="00D71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DE5" w:rsidRPr="00D71DE5" w:rsidRDefault="00FD6F38">
    <w:pPr>
      <w:pStyle w:val="Nagwek"/>
      <w:rPr>
        <w:i/>
        <w:color w:val="FF0000"/>
      </w:rPr>
    </w:pPr>
    <w:r>
      <w:rPr>
        <w:i/>
        <w:color w:val="FF0000"/>
      </w:rPr>
      <w:t xml:space="preserve">                                                 </w:t>
    </w:r>
    <w:r>
      <w:rPr>
        <w:i/>
        <w:color w:val="FF0000"/>
      </w:rPr>
      <w:tab/>
    </w:r>
    <w:r>
      <w:rPr>
        <w:i/>
        <w:color w:val="FF0000"/>
      </w:rPr>
      <w:tab/>
    </w:r>
    <w:r>
      <w:rPr>
        <w:i/>
        <w:color w:val="FF000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02F69"/>
    <w:multiLevelType w:val="multilevel"/>
    <w:tmpl w:val="11F40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4E452B"/>
    <w:multiLevelType w:val="multilevel"/>
    <w:tmpl w:val="B180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A86469"/>
    <w:multiLevelType w:val="multilevel"/>
    <w:tmpl w:val="A1D28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58596C"/>
    <w:multiLevelType w:val="multilevel"/>
    <w:tmpl w:val="BA54A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356EBE"/>
    <w:multiLevelType w:val="multilevel"/>
    <w:tmpl w:val="9E1E6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834411"/>
    <w:multiLevelType w:val="multilevel"/>
    <w:tmpl w:val="F8209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C494CF2"/>
    <w:multiLevelType w:val="multilevel"/>
    <w:tmpl w:val="5DA4E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6266EF"/>
    <w:multiLevelType w:val="multilevel"/>
    <w:tmpl w:val="61405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069036D"/>
    <w:multiLevelType w:val="multilevel"/>
    <w:tmpl w:val="46E42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63073E"/>
    <w:multiLevelType w:val="multilevel"/>
    <w:tmpl w:val="E7FA1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3B3DD0"/>
    <w:multiLevelType w:val="multilevel"/>
    <w:tmpl w:val="2910C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F8634F"/>
    <w:multiLevelType w:val="multilevel"/>
    <w:tmpl w:val="38C2D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7A40F1"/>
    <w:multiLevelType w:val="multilevel"/>
    <w:tmpl w:val="4B0ED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7C4351"/>
    <w:multiLevelType w:val="multilevel"/>
    <w:tmpl w:val="56B27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C76FBA"/>
    <w:multiLevelType w:val="multilevel"/>
    <w:tmpl w:val="0B60C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05E56"/>
    <w:multiLevelType w:val="multilevel"/>
    <w:tmpl w:val="A4EE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A6D1CFE"/>
    <w:multiLevelType w:val="multilevel"/>
    <w:tmpl w:val="0554B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206B49"/>
    <w:multiLevelType w:val="multilevel"/>
    <w:tmpl w:val="368A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450BD6"/>
    <w:multiLevelType w:val="hybridMultilevel"/>
    <w:tmpl w:val="F014C592"/>
    <w:lvl w:ilvl="0" w:tplc="46CA144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0E02571"/>
    <w:multiLevelType w:val="multilevel"/>
    <w:tmpl w:val="4CB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5D028E"/>
    <w:multiLevelType w:val="multilevel"/>
    <w:tmpl w:val="720A7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5E691B"/>
    <w:multiLevelType w:val="multilevel"/>
    <w:tmpl w:val="0B32C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6F6B1F"/>
    <w:multiLevelType w:val="multilevel"/>
    <w:tmpl w:val="ADAE8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BA2EA6"/>
    <w:multiLevelType w:val="multilevel"/>
    <w:tmpl w:val="9B42B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1562F2"/>
    <w:multiLevelType w:val="hybridMultilevel"/>
    <w:tmpl w:val="C008AB32"/>
    <w:lvl w:ilvl="0" w:tplc="FC3E757E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B000845"/>
    <w:multiLevelType w:val="multilevel"/>
    <w:tmpl w:val="CC4E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F623267"/>
    <w:multiLevelType w:val="multilevel"/>
    <w:tmpl w:val="97CA9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0547362"/>
    <w:multiLevelType w:val="multilevel"/>
    <w:tmpl w:val="A2309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11437F9"/>
    <w:multiLevelType w:val="multilevel"/>
    <w:tmpl w:val="225EB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61B02E7"/>
    <w:multiLevelType w:val="multilevel"/>
    <w:tmpl w:val="E7DEC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8B01756"/>
    <w:multiLevelType w:val="multilevel"/>
    <w:tmpl w:val="CA9E8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372AD7"/>
    <w:multiLevelType w:val="multilevel"/>
    <w:tmpl w:val="5738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466D0F"/>
    <w:multiLevelType w:val="multilevel"/>
    <w:tmpl w:val="7064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976C01"/>
    <w:multiLevelType w:val="hybridMultilevel"/>
    <w:tmpl w:val="AD2AB5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FFB69A1"/>
    <w:multiLevelType w:val="hybridMultilevel"/>
    <w:tmpl w:val="AE021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76EFF"/>
    <w:multiLevelType w:val="multilevel"/>
    <w:tmpl w:val="D3840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73C236E"/>
    <w:multiLevelType w:val="multilevel"/>
    <w:tmpl w:val="E6D06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50232F"/>
    <w:multiLevelType w:val="multilevel"/>
    <w:tmpl w:val="EB3CF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F9470C"/>
    <w:multiLevelType w:val="multilevel"/>
    <w:tmpl w:val="B62AF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C913A46"/>
    <w:multiLevelType w:val="multilevel"/>
    <w:tmpl w:val="B8F40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934E5B"/>
    <w:multiLevelType w:val="multilevel"/>
    <w:tmpl w:val="3CBEB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4AB0250"/>
    <w:multiLevelType w:val="multilevel"/>
    <w:tmpl w:val="C80E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5BE432E"/>
    <w:multiLevelType w:val="multilevel"/>
    <w:tmpl w:val="DBD06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D37F9C"/>
    <w:multiLevelType w:val="multilevel"/>
    <w:tmpl w:val="A7FCF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68E7229"/>
    <w:multiLevelType w:val="multilevel"/>
    <w:tmpl w:val="CEF41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A653DAC"/>
    <w:multiLevelType w:val="multilevel"/>
    <w:tmpl w:val="7430C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7C452B0C"/>
    <w:multiLevelType w:val="multilevel"/>
    <w:tmpl w:val="5E58C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0"/>
  </w:num>
  <w:num w:numId="2">
    <w:abstractNumId w:val="42"/>
  </w:num>
  <w:num w:numId="3">
    <w:abstractNumId w:val="26"/>
  </w:num>
  <w:num w:numId="4">
    <w:abstractNumId w:val="23"/>
  </w:num>
  <w:num w:numId="5">
    <w:abstractNumId w:val="37"/>
  </w:num>
  <w:num w:numId="6">
    <w:abstractNumId w:val="45"/>
  </w:num>
  <w:num w:numId="7">
    <w:abstractNumId w:val="46"/>
  </w:num>
  <w:num w:numId="8">
    <w:abstractNumId w:val="8"/>
  </w:num>
  <w:num w:numId="9">
    <w:abstractNumId w:val="6"/>
  </w:num>
  <w:num w:numId="10">
    <w:abstractNumId w:val="11"/>
  </w:num>
  <w:num w:numId="11">
    <w:abstractNumId w:val="2"/>
  </w:num>
  <w:num w:numId="12">
    <w:abstractNumId w:val="12"/>
  </w:num>
  <w:num w:numId="13">
    <w:abstractNumId w:val="3"/>
  </w:num>
  <w:num w:numId="14">
    <w:abstractNumId w:val="43"/>
  </w:num>
  <w:num w:numId="15">
    <w:abstractNumId w:val="1"/>
  </w:num>
  <w:num w:numId="16">
    <w:abstractNumId w:val="17"/>
  </w:num>
  <w:num w:numId="17">
    <w:abstractNumId w:val="38"/>
  </w:num>
  <w:num w:numId="18">
    <w:abstractNumId w:val="14"/>
  </w:num>
  <w:num w:numId="19">
    <w:abstractNumId w:val="5"/>
  </w:num>
  <w:num w:numId="20">
    <w:abstractNumId w:val="4"/>
  </w:num>
  <w:num w:numId="21">
    <w:abstractNumId w:val="28"/>
  </w:num>
  <w:num w:numId="22">
    <w:abstractNumId w:val="27"/>
  </w:num>
  <w:num w:numId="23">
    <w:abstractNumId w:val="19"/>
  </w:num>
  <w:num w:numId="24">
    <w:abstractNumId w:val="13"/>
  </w:num>
  <w:num w:numId="25">
    <w:abstractNumId w:val="36"/>
  </w:num>
  <w:num w:numId="26">
    <w:abstractNumId w:val="21"/>
  </w:num>
  <w:num w:numId="27">
    <w:abstractNumId w:val="0"/>
  </w:num>
  <w:num w:numId="28">
    <w:abstractNumId w:val="35"/>
  </w:num>
  <w:num w:numId="29">
    <w:abstractNumId w:val="39"/>
  </w:num>
  <w:num w:numId="30">
    <w:abstractNumId w:val="9"/>
  </w:num>
  <w:num w:numId="31">
    <w:abstractNumId w:val="29"/>
  </w:num>
  <w:num w:numId="32">
    <w:abstractNumId w:val="7"/>
  </w:num>
  <w:num w:numId="33">
    <w:abstractNumId w:val="44"/>
  </w:num>
  <w:num w:numId="34">
    <w:abstractNumId w:val="31"/>
  </w:num>
  <w:num w:numId="35">
    <w:abstractNumId w:val="41"/>
  </w:num>
  <w:num w:numId="36">
    <w:abstractNumId w:val="16"/>
  </w:num>
  <w:num w:numId="37">
    <w:abstractNumId w:val="22"/>
  </w:num>
  <w:num w:numId="38">
    <w:abstractNumId w:val="30"/>
  </w:num>
  <w:num w:numId="39">
    <w:abstractNumId w:val="32"/>
  </w:num>
  <w:num w:numId="40">
    <w:abstractNumId w:val="10"/>
  </w:num>
  <w:num w:numId="41">
    <w:abstractNumId w:val="20"/>
  </w:num>
  <w:num w:numId="42">
    <w:abstractNumId w:val="25"/>
  </w:num>
  <w:num w:numId="43">
    <w:abstractNumId w:val="15"/>
  </w:num>
  <w:num w:numId="44">
    <w:abstractNumId w:val="33"/>
  </w:num>
  <w:num w:numId="45">
    <w:abstractNumId w:val="24"/>
  </w:num>
  <w:num w:numId="46">
    <w:abstractNumId w:val="34"/>
  </w:num>
  <w:num w:numId="4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0A37"/>
    <w:rsid w:val="00007EF5"/>
    <w:rsid w:val="0001198E"/>
    <w:rsid w:val="0002763C"/>
    <w:rsid w:val="0010440A"/>
    <w:rsid w:val="00200A52"/>
    <w:rsid w:val="003021BC"/>
    <w:rsid w:val="00361EDB"/>
    <w:rsid w:val="003A6A88"/>
    <w:rsid w:val="00513FCD"/>
    <w:rsid w:val="007419CE"/>
    <w:rsid w:val="00794F7E"/>
    <w:rsid w:val="008522EE"/>
    <w:rsid w:val="008E551C"/>
    <w:rsid w:val="00940E53"/>
    <w:rsid w:val="00941826"/>
    <w:rsid w:val="009C0A37"/>
    <w:rsid w:val="00A17DB1"/>
    <w:rsid w:val="00A92D3E"/>
    <w:rsid w:val="00AD09BB"/>
    <w:rsid w:val="00BE4B18"/>
    <w:rsid w:val="00C972F8"/>
    <w:rsid w:val="00D626A1"/>
    <w:rsid w:val="00D71DE5"/>
    <w:rsid w:val="00F45F4C"/>
    <w:rsid w:val="00FD6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18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9C0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021BC"/>
    <w:pPr>
      <w:ind w:left="720"/>
      <w:contextualSpacing/>
    </w:pPr>
  </w:style>
  <w:style w:type="paragraph" w:styleId="Plandokumentu">
    <w:name w:val="Document Map"/>
    <w:basedOn w:val="Normalny"/>
    <w:link w:val="PlandokumentuZnak"/>
    <w:uiPriority w:val="99"/>
    <w:semiHidden/>
    <w:unhideWhenUsed/>
    <w:rsid w:val="00BE4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BE4B1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D71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71DE5"/>
  </w:style>
  <w:style w:type="paragraph" w:styleId="Stopka">
    <w:name w:val="footer"/>
    <w:basedOn w:val="Normalny"/>
    <w:link w:val="StopkaZnak"/>
    <w:uiPriority w:val="99"/>
    <w:semiHidden/>
    <w:unhideWhenUsed/>
    <w:rsid w:val="00D71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71D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7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3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87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49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126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217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054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539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753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1571</Words>
  <Characters>9426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ŚTBS</Company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...</cp:lastModifiedBy>
  <cp:revision>9</cp:revision>
  <cp:lastPrinted>2012-02-17T12:32:00Z</cp:lastPrinted>
  <dcterms:created xsi:type="dcterms:W3CDTF">2012-01-24T08:32:00Z</dcterms:created>
  <dcterms:modified xsi:type="dcterms:W3CDTF">2012-02-17T12:33:00Z</dcterms:modified>
</cp:coreProperties>
</file>